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1351A6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1351A6">
        <w:rPr>
          <w:rFonts w:cs="Arial"/>
          <w:b/>
          <w:color w:val="auto"/>
          <w:lang w:val="fr-FR"/>
        </w:rPr>
        <w:t xml:space="preserve">EASYFLEX </w:t>
      </w:r>
      <w:r w:rsidR="001351A6" w:rsidRPr="001351A6">
        <w:rPr>
          <w:rFonts w:cs="Arial"/>
          <w:b/>
          <w:color w:val="auto"/>
          <w:lang w:val="fr-FR"/>
        </w:rPr>
        <w:t xml:space="preserve">raccord </w:t>
      </w:r>
      <w:r w:rsidR="00A91332">
        <w:rPr>
          <w:rFonts w:cs="Arial"/>
          <w:b/>
          <w:color w:val="auto"/>
          <w:lang w:val="fr-FR"/>
        </w:rPr>
        <w:t>double</w:t>
      </w:r>
      <w:r w:rsidR="001351A6" w:rsidRPr="001351A6">
        <w:rPr>
          <w:rFonts w:cs="Arial"/>
          <w:b/>
          <w:color w:val="auto"/>
          <w:lang w:val="fr-FR"/>
        </w:rPr>
        <w:t xml:space="preserve"> ø 125 mm</w:t>
      </w:r>
    </w:p>
    <w:p w:rsidR="00140B6F" w:rsidRPr="00F63A5E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</w:t>
      </w:r>
      <w:r w:rsidR="00A91332">
        <w:rPr>
          <w:rFonts w:cs="Arial"/>
          <w:b/>
          <w:color w:val="auto"/>
        </w:rPr>
        <w:t>8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A91332" w:rsidRDefault="00A91332" w:rsidP="001351A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CF764A" w:rsidRDefault="00CF764A" w:rsidP="001351A6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CF764A" w:rsidRPr="00CF764A" w:rsidRDefault="00CF764A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CF764A">
        <w:rPr>
          <w:rFonts w:ascii="Arial" w:hAnsi="Arial" w:cs="Arial"/>
          <w:b w:val="0"/>
          <w:caps w:val="0"/>
          <w:lang w:val="fr-BE"/>
        </w:rPr>
        <w:t>Les grilles d’extraction design de RENSON</w:t>
      </w:r>
      <w:r w:rsidRPr="00CF764A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CF764A">
        <w:rPr>
          <w:rFonts w:ascii="Arial" w:hAnsi="Arial" w:cs="Arial"/>
          <w:b w:val="0"/>
          <w:caps w:val="0"/>
          <w:lang w:val="fr-BE"/>
        </w:rPr>
        <w:t xml:space="preserve"> peuvent être raccordées directement aux pièces de raccord du système de conduits Easyflex</w:t>
      </w:r>
      <w:r w:rsidRPr="00CF764A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CF764A">
        <w:rPr>
          <w:rFonts w:ascii="Arial" w:hAnsi="Arial" w:cs="Arial"/>
          <w:b w:val="0"/>
          <w:caps w:val="0"/>
          <w:lang w:val="fr-BE"/>
        </w:rPr>
        <w:t>. Le raccord double est utilisé pour des pièces où un débit élevé d’extraction est exigé.</w:t>
      </w:r>
    </w:p>
    <w:p w:rsidR="00CF764A" w:rsidRPr="00CF764A" w:rsidRDefault="00CF764A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CF764A">
        <w:rPr>
          <w:rFonts w:ascii="Arial" w:hAnsi="Arial" w:cs="Arial"/>
          <w:b w:val="0"/>
          <w:caps w:val="0"/>
          <w:lang w:val="fr-BE"/>
        </w:rPr>
        <w:t>Les grilles d’extraction peuvent être couplées directement a</w:t>
      </w:r>
      <w:r>
        <w:rPr>
          <w:rFonts w:ascii="Arial" w:hAnsi="Arial" w:cs="Arial"/>
          <w:b w:val="0"/>
          <w:caps w:val="0"/>
          <w:lang w:val="fr-BE"/>
        </w:rPr>
        <w:t>u raccord pour grille d’extrac</w:t>
      </w:r>
      <w:r w:rsidRPr="00CF764A">
        <w:rPr>
          <w:rFonts w:ascii="Arial" w:hAnsi="Arial" w:cs="Arial"/>
          <w:b w:val="0"/>
          <w:caps w:val="0"/>
          <w:lang w:val="fr-BE"/>
        </w:rPr>
        <w:t>tion si elles sont intégrées dans une paroi en gyproc. Si la grille d’extraction se trouve dans une voûte, on place une pièce intermédiaire qui peut être découpée s</w:t>
      </w:r>
      <w:r>
        <w:rPr>
          <w:rFonts w:ascii="Arial" w:hAnsi="Arial" w:cs="Arial"/>
          <w:b w:val="0"/>
          <w:caps w:val="0"/>
          <w:lang w:val="fr-BE"/>
        </w:rPr>
        <w:t>ur mesure.</w:t>
      </w:r>
    </w:p>
    <w:p w:rsidR="00CF764A" w:rsidRPr="00CF764A" w:rsidRDefault="00CF764A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CF764A">
        <w:rPr>
          <w:rFonts w:ascii="Arial" w:hAnsi="Arial" w:cs="Arial"/>
          <w:b w:val="0"/>
          <w:caps w:val="0"/>
          <w:lang w:val="fr-BE"/>
        </w:rPr>
        <w:t>Le raccord double peut aussi servir de pièce intermédiaire entre les conduits oblongs et</w:t>
      </w:r>
    </w:p>
    <w:p w:rsidR="00CF764A" w:rsidRPr="004F288E" w:rsidRDefault="00CF764A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CF764A">
        <w:rPr>
          <w:rFonts w:ascii="Arial" w:hAnsi="Arial" w:cs="Arial"/>
          <w:b w:val="0"/>
          <w:caps w:val="0"/>
          <w:lang w:val="fr-BE"/>
        </w:rPr>
        <w:t>les conduits verticaux ronds.</w:t>
      </w:r>
    </w:p>
    <w:p w:rsid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CF764A" w:rsidRPr="00D87911" w:rsidRDefault="00CF764A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Fabriqué en polypropylène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Antistatique et antibactérien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Classe d’étanchéité à l’air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Paroi intérieure lisse</w:t>
      </w:r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Faible résistance à l’air</w:t>
      </w:r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F722A7">
        <w:rPr>
          <w:rFonts w:ascii="Arial" w:hAnsi="Arial" w:cs="Arial"/>
          <w:b w:val="0"/>
          <w:caps w:val="0"/>
        </w:rPr>
        <w:t>Facile à nettoyer</w:t>
      </w:r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CF764A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CF764A" w:rsidRDefault="00CF764A" w:rsidP="00F63A5E">
      <w:pPr>
        <w:pStyle w:val="besteksubtitel"/>
        <w:rPr>
          <w:noProof/>
        </w:rPr>
      </w:pPr>
    </w:p>
    <w:p w:rsidR="00CF764A" w:rsidRPr="00F63A5E" w:rsidRDefault="00CF764A" w:rsidP="00F63A5E">
      <w:pPr>
        <w:pStyle w:val="besteksubtitel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3E7C3063" wp14:editId="608986A6">
            <wp:extent cx="4720313" cy="4191166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9559" cy="41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1351A6" w:rsidRPr="001351A6">
      <w:rPr>
        <w:lang w:val="fr-FR"/>
      </w:rPr>
      <w:t xml:space="preserve">Raccord </w:t>
    </w:r>
    <w:r w:rsidR="00CF764A">
      <w:rPr>
        <w:lang w:val="fr-FR"/>
      </w:rPr>
      <w:t>double</w:t>
    </w:r>
    <w:r w:rsidR="001351A6" w:rsidRPr="001351A6">
      <w:rPr>
        <w:lang w:val="fr-FR"/>
      </w:rPr>
      <w:t xml:space="preserve"> ø 125 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3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85141"/>
    <w:rsid w:val="004F288E"/>
    <w:rsid w:val="005731FB"/>
    <w:rsid w:val="00624346"/>
    <w:rsid w:val="00655FDF"/>
    <w:rsid w:val="00664812"/>
    <w:rsid w:val="00672128"/>
    <w:rsid w:val="0069479B"/>
    <w:rsid w:val="0092458E"/>
    <w:rsid w:val="00933BC9"/>
    <w:rsid w:val="009C003A"/>
    <w:rsid w:val="00A91332"/>
    <w:rsid w:val="00AC12B7"/>
    <w:rsid w:val="00AE6205"/>
    <w:rsid w:val="00C13773"/>
    <w:rsid w:val="00CF764A"/>
    <w:rsid w:val="00D87911"/>
    <w:rsid w:val="00DE6DC8"/>
    <w:rsid w:val="00F63A5E"/>
    <w:rsid w:val="00F71C47"/>
    <w:rsid w:val="00F722A7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11"/>
    <o:shapelayout v:ext="edit">
      <o:idmap v:ext="edit" data="1"/>
    </o:shapelayout>
  </w:shapeDefaults>
  <w:decimalSymbol w:val=","/>
  <w:listSeparator w:val=";"/>
  <w14:docId w14:val="062689A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2017-06-02T12:42:00Z</dcterms:created>
  <dcterms:modified xsi:type="dcterms:W3CDTF">2017-06-02T12:54:00Z</dcterms:modified>
</cp:coreProperties>
</file>